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Katie Winkler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Atascadero, CA 93422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kwinkler@csumb.edu</w:t>
        </w:r>
      </w:hyperlink>
      <w:r w:rsidDel="00000000" w:rsidR="00000000" w:rsidRPr="00000000">
        <w:rPr>
          <w:rtl w:val="0"/>
        </w:rPr>
        <w:t xml:space="preserve"> | (805) 464-9364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B.A. Spanish</w:t>
        <w:tab/>
        <w:tab/>
        <w:tab/>
        <w:tab/>
        <w:tab/>
        <w:tab/>
        <w:tab/>
        <w:t xml:space="preserve">Expected Graduation Spring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 State Monterey Bay, Seaside, 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Studied Abroad in Spain 2015-2016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Studied Abroad in Italy 2010-2011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Conversational Spanish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Conversational Italian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Computer Literacy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Customer 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Volunteer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People’s Kitchen 2012-2013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-Cooked nutritious meals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-Assisted in food serving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Caregiver 2012-2015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Home Helpers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-Performed everyday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-Transported clients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-Supported in personal hygiene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-Cooked and cleaned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Barista 2012-2014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Paso Espresso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-Customer 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-Cashier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-Experience working and closing solo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-Coffee brewing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-Drink making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Maintained clean and friendly atmosphere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winkler@csumb.edu" TargetMode="External"/></Relationships>
</file>